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smallCaps w:val="1"/>
          <w:color w:val="000000"/>
          <w:sz w:val="24"/>
          <w:szCs w:val="24"/>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Convictions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sz w:val="24"/>
          <w:szCs w:val="24"/>
        </w:rPr>
      </w:pPr>
      <w:r w:rsidDel="00000000" w:rsidR="00000000" w:rsidRPr="00000000">
        <w:rPr>
          <w:rFonts w:ascii="Arial" w:cs="Arial" w:eastAsia="Arial" w:hAnsi="Arial"/>
          <w:b w:val="1"/>
          <w:sz w:val="36"/>
          <w:szCs w:val="36"/>
          <w:rtl w:val="0"/>
        </w:rPr>
        <w:t xml:space="preserve">Annex 1 – Relevant Convictions</w:t>
      </w:r>
      <w:r w:rsidDel="00000000" w:rsidR="00000000" w:rsidRPr="00000000">
        <w:rPr>
          <w:rtl w:val="0"/>
        </w:rPr>
      </w:r>
    </w:p>
    <w:p w:rsidR="00000000" w:rsidDel="00000000" w:rsidP="00000000" w:rsidRDefault="00000000" w:rsidRPr="00000000" w14:paraId="00000010">
      <w:pPr>
        <w:rPr>
          <w:rFonts w:ascii="Arial" w:cs="Arial" w:eastAsia="Arial" w:hAnsi="Arial"/>
          <w:sz w:val="24"/>
          <w:szCs w:val="24"/>
          <w:highlight w:val="white"/>
        </w:rPr>
        <w:sectPr>
          <w:headerReference r:id="rId7" w:type="default"/>
          <w:footerReference r:id="rId8" w:type="default"/>
          <w:footerReference r:id="rId9" w:type="first"/>
          <w:pgSz w:h="16838" w:w="11906" w:orient="portrait"/>
          <w:pgMar w:bottom="1440" w:top="1440" w:left="1440" w:right="1440" w:header="709" w:footer="709"/>
          <w:pgNumType w:start="1"/>
        </w:sectPr>
      </w:pPr>
      <w:bookmarkStart w:colFirst="0" w:colLast="0" w:name="_heading=h.2et92p0" w:id="3"/>
      <w:bookmarkEnd w:id="3"/>
      <w:r w:rsidDel="00000000" w:rsidR="00000000" w:rsidRPr="00000000">
        <w:rPr>
          <w:rFonts w:ascii="Arial" w:cs="Arial" w:eastAsia="Arial" w:hAnsi="Arial"/>
          <w:sz w:val="24"/>
          <w:szCs w:val="24"/>
          <w:highlight w:val="white"/>
          <w:rtl w:val="0"/>
        </w:rPr>
        <w:t xml:space="preserve">Relevant convictions should be declared in line with UKSV directives as part of any application or transfer of CTC/ SC or DV security clearance requests for supplier operatives</w:t>
      </w:r>
    </w:p>
    <w:p w:rsidR="00000000" w:rsidDel="00000000" w:rsidP="00000000" w:rsidRDefault="00000000" w:rsidRPr="00000000" w14:paraId="00000011">
      <w:pPr>
        <w:rPr/>
      </w:pPr>
      <w:bookmarkStart w:colFirst="0" w:colLast="0" w:name="_heading=h.3znysh7" w:id="4"/>
      <w:bookmarkEnd w:id="4"/>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RM6193</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5"/>
    <w:bookmarkEnd w:id="5"/>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18 (Background Checks)</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E58g/u2+a32AKqzp2aMGf6FV7w==">CgMxLjAyCGguZ2pkZ3hzMgloLjMwajB6bGwyCWguMWZvYjl0ZTIJaC4yZXQ5MnAwMgloLjN6bnlzaDcyCmlkLjJldDkycDA4AHIhMW9IX1ZsOXM3S2JGLVVaa3RoUzZ3cDBfamNGX0hTSDgy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2020-11-06T14:22:00Z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